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60"/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РЕГЛАМЕНТ ПОДГОТОВКИ И ПРОВЕДЕНИЯ ЗАСЕДАНИЯ ШВР</w:t>
      </w:r>
    </w:p>
    <w:p>
      <w:pPr>
        <w:pStyle w:val="Heading2"/>
      </w:pPr>
      <w:r>
        <w:t>1. Инициирование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</w:rPr>
        <w:t>Предложения в повестку направляются секретарю с обоснованием, данными и проектом результата.</w:t>
      </w:r>
    </w:p>
    <w:p>
      <w:pPr>
        <w:pStyle w:val="Heading2"/>
      </w:pPr>
      <w:r>
        <w:t>2. Отбор вопросов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</w:rPr>
        <w:t>Председатель включает вопросы, требующие коллегиальной координации. Информационные сообщения без решения выносятся в справочный блок.</w:t>
      </w:r>
    </w:p>
    <w:p>
      <w:pPr>
        <w:pStyle w:val="Heading2"/>
      </w:pPr>
      <w:r>
        <w:t>3. Подготовка данных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</w:rPr>
        <w:t>Докладчик предоставляет не перечень мероприятий, а факты, динамику, проблему, причины и варианты решения.</w:t>
      </w:r>
    </w:p>
    <w:p>
      <w:pPr>
        <w:pStyle w:val="Heading2"/>
      </w:pPr>
      <w:r>
        <w:t>4. Проект решения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</w:rPr>
        <w:t>Каждый вопрос заранее сопровождается проектом решения: действие, ответственный, срок, подтверждение.</w:t>
      </w:r>
    </w:p>
    <w:p>
      <w:pPr>
        <w:pStyle w:val="Heading2"/>
      </w:pPr>
      <w:r>
        <w:t>5. Рассылка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</w:rPr>
        <w:t xml:space="preserve">Повестка и материалы направляются не позднее чем за </w:t>
      </w:r>
      <w:r>
        <w:rPr>
          <w:rFonts w:ascii="Times New Roman" w:hAnsi="Times New Roman" w:eastAsia="Times New Roman"/>
          <w:b w:val="0"/>
          <w:i w:val="0"/>
          <w:highlight w:val="yellow"/>
        </w:rPr>
        <w:t>[3]</w:t>
      </w:r>
      <w:r>
        <w:rPr>
          <w:rFonts w:ascii="Times New Roman" w:hAnsi="Times New Roman" w:eastAsia="Times New Roman"/>
          <w:b w:val="0"/>
          <w:i w:val="0"/>
        </w:rPr>
        <w:t xml:space="preserve"> рабочих дня.</w:t>
      </w:r>
    </w:p>
    <w:p>
      <w:pPr>
        <w:pStyle w:val="Heading2"/>
      </w:pPr>
      <w:r>
        <w:t>6. Заседание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</w:rPr>
        <w:t>Председатель удерживает повестку и регламент; секретарь фиксирует решения; участники отделяют факты от предположений.</w:t>
      </w:r>
    </w:p>
    <w:p>
      <w:pPr>
        <w:pStyle w:val="Heading2"/>
      </w:pPr>
      <w:r>
        <w:t>7. Протокол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</w:rPr>
        <w:t xml:space="preserve">Оформляется в срок до </w:t>
      </w:r>
      <w:r>
        <w:rPr>
          <w:rFonts w:ascii="Times New Roman" w:hAnsi="Times New Roman" w:eastAsia="Times New Roman"/>
          <w:b w:val="0"/>
          <w:i w:val="0"/>
          <w:highlight w:val="yellow"/>
        </w:rPr>
        <w:t>[5]</w:t>
      </w:r>
      <w:r>
        <w:rPr>
          <w:rFonts w:ascii="Times New Roman" w:hAnsi="Times New Roman" w:eastAsia="Times New Roman"/>
          <w:b w:val="0"/>
          <w:i w:val="0"/>
        </w:rPr>
        <w:t xml:space="preserve"> рабочих дней и подписывается председателем и секретарём.</w:t>
      </w:r>
    </w:p>
    <w:p>
      <w:pPr>
        <w:pStyle w:val="Heading2"/>
      </w:pPr>
      <w:r>
        <w:t>8. Контроль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</w:rPr>
        <w:t xml:space="preserve">Поручения вносятся в журнал; за </w:t>
      </w:r>
      <w:r>
        <w:rPr>
          <w:rFonts w:ascii="Times New Roman" w:hAnsi="Times New Roman" w:eastAsia="Times New Roman"/>
          <w:b w:val="0"/>
          <w:i w:val="0"/>
          <w:highlight w:val="yellow"/>
        </w:rPr>
        <w:t>[2]</w:t>
      </w:r>
      <w:r>
        <w:rPr>
          <w:rFonts w:ascii="Times New Roman" w:hAnsi="Times New Roman" w:eastAsia="Times New Roman"/>
          <w:b w:val="0"/>
          <w:i w:val="0"/>
        </w:rPr>
        <w:t xml:space="preserve"> рабочих дня до срока секретарь напоминает ответственному.</w:t>
      </w:r>
    </w:p>
    <w:p>
      <w:pPr>
        <w:pStyle w:val="Heading2"/>
      </w:pPr>
      <w:r>
        <w:t>9. Закрытие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</w:rPr>
        <w:t>Поручение закрывается после проверки результата, а не после сообщения исполнителя.</w:t>
      </w:r>
    </w:p>
    <w:p>
      <w:pPr>
        <w:pStyle w:val="Heading1"/>
      </w:pPr>
      <w:r>
        <w:t>Требования к докладу</w:t>
      </w:r>
    </w:p>
    <w:p>
      <w:pPr>
        <w:pStyle w:val="ListBullet"/>
        <w:spacing w:after="40"/>
        <w:jc w:val="left"/>
      </w:pPr>
      <w:r>
        <w:rPr>
          <w:rFonts w:ascii="Times New Roman" w:hAnsi="Times New Roman" w:eastAsia="Times New Roman"/>
          <w:b w:val="0"/>
          <w:i w:val="0"/>
        </w:rPr>
        <w:t>не более 5–7 минут;</w:t>
      </w:r>
    </w:p>
    <w:p>
      <w:pPr>
        <w:pStyle w:val="ListBullet"/>
        <w:spacing w:after="40"/>
        <w:jc w:val="left"/>
      </w:pPr>
      <w:r>
        <w:rPr>
          <w:rFonts w:ascii="Times New Roman" w:hAnsi="Times New Roman" w:eastAsia="Times New Roman"/>
          <w:b w:val="0"/>
          <w:i w:val="0"/>
        </w:rPr>
        <w:t>три ключевых факта или показателя;</w:t>
      </w:r>
    </w:p>
    <w:p>
      <w:pPr>
        <w:pStyle w:val="ListBullet"/>
        <w:spacing w:after="40"/>
        <w:jc w:val="left"/>
      </w:pPr>
      <w:r>
        <w:rPr>
          <w:rFonts w:ascii="Times New Roman" w:hAnsi="Times New Roman" w:eastAsia="Times New Roman"/>
          <w:b w:val="0"/>
          <w:i w:val="0"/>
        </w:rPr>
        <w:t>одна чётко сформулированная проблема;</w:t>
      </w:r>
    </w:p>
    <w:p>
      <w:pPr>
        <w:pStyle w:val="ListBullet"/>
        <w:spacing w:after="40"/>
        <w:jc w:val="left"/>
      </w:pPr>
      <w:r>
        <w:rPr>
          <w:rFonts w:ascii="Times New Roman" w:hAnsi="Times New Roman" w:eastAsia="Times New Roman"/>
          <w:b w:val="0"/>
          <w:i w:val="0"/>
        </w:rPr>
        <w:t>не более трёх вариантов решения;</w:t>
      </w:r>
    </w:p>
    <w:p>
      <w:pPr>
        <w:pStyle w:val="ListBullet"/>
        <w:spacing w:after="40"/>
        <w:jc w:val="left"/>
      </w:pPr>
      <w:r>
        <w:rPr>
          <w:rFonts w:ascii="Times New Roman" w:hAnsi="Times New Roman" w:eastAsia="Times New Roman"/>
          <w:b w:val="0"/>
          <w:i w:val="0"/>
        </w:rPr>
        <w:t>предлагаемый ответственный и срок.</w:t>
      </w:r>
    </w:p>
    <w:p>
      <w:pPr>
        <w:pStyle w:val="Heading1"/>
      </w:pPr>
      <w:r>
        <w:t>Чего избегать</w:t>
      </w:r>
    </w:p>
    <w:p>
      <w:pPr>
        <w:pStyle w:val="ListBullet"/>
        <w:spacing w:after="40"/>
        <w:jc w:val="left"/>
      </w:pPr>
      <w:r>
        <w:rPr>
          <w:rFonts w:ascii="Times New Roman" w:hAnsi="Times New Roman" w:eastAsia="Times New Roman"/>
          <w:b w:val="0"/>
          <w:i w:val="0"/>
        </w:rPr>
        <w:t>зачитывания длинного отчёта;</w:t>
      </w:r>
    </w:p>
    <w:p>
      <w:pPr>
        <w:pStyle w:val="ListBullet"/>
        <w:spacing w:after="40"/>
        <w:jc w:val="left"/>
      </w:pPr>
      <w:r>
        <w:rPr>
          <w:rFonts w:ascii="Times New Roman" w:hAnsi="Times New Roman" w:eastAsia="Times New Roman"/>
          <w:b w:val="0"/>
          <w:i w:val="0"/>
        </w:rPr>
        <w:t>обсуждения персональных данных при расширенном составе;</w:t>
      </w:r>
    </w:p>
    <w:p>
      <w:pPr>
        <w:pStyle w:val="ListBullet"/>
        <w:spacing w:after="40"/>
        <w:jc w:val="left"/>
      </w:pPr>
      <w:r>
        <w:rPr>
          <w:rFonts w:ascii="Times New Roman" w:hAnsi="Times New Roman" w:eastAsia="Times New Roman"/>
          <w:b w:val="0"/>
          <w:i w:val="0"/>
        </w:rPr>
        <w:t>решений без ответственного и срока;</w:t>
      </w:r>
    </w:p>
    <w:p>
      <w:pPr>
        <w:pStyle w:val="ListBullet"/>
        <w:spacing w:after="40"/>
        <w:jc w:val="left"/>
      </w:pPr>
      <w:r>
        <w:rPr>
          <w:rFonts w:ascii="Times New Roman" w:hAnsi="Times New Roman" w:eastAsia="Times New Roman"/>
          <w:b w:val="0"/>
          <w:i w:val="0"/>
        </w:rPr>
        <w:t>подмены анализа количеством мероприятий;</w:t>
      </w:r>
    </w:p>
    <w:p>
      <w:pPr>
        <w:pStyle w:val="ListBullet"/>
        <w:spacing w:after="40"/>
        <w:jc w:val="left"/>
      </w:pPr>
      <w:r>
        <w:rPr>
          <w:rFonts w:ascii="Times New Roman" w:hAnsi="Times New Roman" w:eastAsia="Times New Roman"/>
          <w:b w:val="0"/>
          <w:i w:val="0"/>
        </w:rPr>
        <w:t>поручений, не относящихся к компетенции участника.</w:t>
      </w:r>
    </w:p>
    <w:sectPr w:rsidR="00FC693F" w:rsidRPr="0006063C" w:rsidSect="00034616">
      <w:pgSz w:w="11906" w:h="16838"/>
      <w:pgMar w:top="850" w:right="680" w:bottom="850" w:left="113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40"/>
      <w:jc w:val="both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2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60" w:after="2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подготовки заседания ШВР</dc:title>
  <dc:subject>Штаб воспитательной работы</dc:subject>
  <dc:creator>Виктория Матяж</dc:creator>
  <cp:keywords>ШВР, воспитательная работа, школа, шаблон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